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C9A227"/>
          <w:sz w:val="20"/>
          <w:szCs w:val="20"/>
        </w:rPr>
        <w:t xml:space="preserve">INSTITUTO DE TERAPIAS CONDUCTUALES Y CONTEXTUALES</w:t>
      </w:r>
    </w:p>
    <w:p>
      <w:pPr>
        <w:spacing w:after="300"/>
        <w:jc w:val="center"/>
      </w:pPr>
      <w:r>
        <w:rPr>
          <w:rFonts w:ascii="Calibri" w:cs="Calibri" w:eastAsia="Calibri" w:hAnsi="Calibri"/>
          <w:color w:val="3D3B37"/>
          <w:spacing w:val="20"/>
          <w:sz w:val="18"/>
          <w:szCs w:val="18"/>
        </w:rPr>
        <w:t xml:space="preserve">GUÍA ORIENTATIVA PARA EL ALUMNO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00939F"/>
          <w:sz w:val="34"/>
          <w:szCs w:val="34"/>
        </w:rPr>
        <w:t xml:space="preserve">Cómo elaborar tu guía de actuación clínica</w:t>
      </w:r>
    </w:p>
    <w:p>
      <w:pPr>
        <w:spacing w:after="400"/>
        <w:jc w:val="center"/>
      </w:pPr>
      <w:r>
        <w:rPr>
          <w:rFonts w:ascii="Calibri" w:cs="Calibri" w:eastAsia="Calibri" w:hAnsi="Calibri"/>
          <w:i/>
          <w:iCs/>
          <w:color w:val="3D3B37"/>
          <w:sz w:val="24"/>
          <w:szCs w:val="24"/>
        </w:rPr>
        <w:t xml:space="preserve">Un protocolo flexible para orientar tu futura práctica clínica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1. ¿Qué es y para qué sirve?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Una guía de actuación clínica es un protocolo flexible de trabajo que te orienta sobre qué hacer cuando comiences a atender un motivo de consulta específico. No es un guion rígido que deba seguirse al pie de la letra: es un mapa general, sesión por sesión, que puedes ajustar según cada caso particular.</w:t>
      </w:r>
    </w:p>
    <w:p>
      <w:pPr>
        <w:spacing w:after="160" w:line="276"/>
      </w:pP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Se recomienda especialmente si todavía no ejerces: construir esta guía antes de tu práctica real te permite organizar con anticipación tu abordaje, anticipar decisiones clínicas y sentirte más seguro cuando el caso llegue.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La guía debe estar basada en las intervenciones que cuenten con mayor evidencia científica para el motivo de consulta elegido, y debe construirse desde el modelo que cursaste en tu formación (análisis funcional, ACT, DBT o FAP, según corresponda).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2. Cómo construir tu guía, paso a paso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1.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Elige el motivo de consulta de tu interés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Selecciona la problemática o presentación clínica que quieres aprender a abordar.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Ejemplo: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ataques de pánico, fobia específica, conducta suicida, dificultades de pareja, etc.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2.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Identifica la intervención con mayor evidencia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Revisa qué técnica o paquete de tratamiento cuenta con más respaldo científico para ese motivo de consulta, dentro del enfoque de tu programa.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Ejemplo: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para ataques de pánico, la terapia de exposición (incluyendo la exposición interoceptiva) es la intervención con mayor evidencia desde una perspectiva conductual.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3.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Organiza tu guía sesión por sesión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Para cada sesión define: el objetivo de esa sesión y los temas o estrategias que se abordarán en ella.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Ejemplo: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psicoeducación, exposición interoceptiva, jerarquización de estímulos fóbicos, análisis funcional, entrega de registros de autoexposición, etc.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4.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Deja espacio para la flexibilidad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Anota qué aspectos podrías ajustar según el caso concreto (ritmo de avance, orden de la jerarquía, comorbilidades).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Ejemplo: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un cliente puede necesitar más sesiones de psicoeducación antes de iniciar la exposición; tu guía debe permitir ese ajuste.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5.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Respalda tu guía con bibliografía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Cita las fuentes (manuales, protocolos, material del diplomado) que sustentan cada estrategia incluida.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3. Ejemplo aplicado: ataques de pánico desde una perspectiva conductual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A modo de ejemplo, así se vería una guía de actuación para el abordaje de ataques de pánico mediante terapia de exposición: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950"/>
        <w:gridCol w:w="5000"/>
      </w:tblGrid>
      <w:tr>
        <w:trPr>
          <w:tblHeader/>
        </w:trPr>
        <w:tc>
          <w:tcPr>
            <w:tcW w:type="dxa" w:w="1400"/>
            <w:shd w:fill="00939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Sesión</w:t>
            </w:r>
          </w:p>
        </w:tc>
        <w:tc>
          <w:tcPr>
            <w:tcW w:type="dxa" w:w="2950"/>
            <w:shd w:fill="00939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Objetivo</w:t>
            </w:r>
          </w:p>
        </w:tc>
        <w:tc>
          <w:tcPr>
            <w:tcW w:type="dxa" w:w="5000"/>
            <w:shd w:fill="00939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Temas y estrategias</w:t>
            </w:r>
          </w:p>
        </w:tc>
      </w:tr>
      <w:tr>
        <w:tc>
          <w:tcPr>
            <w:tcW w:type="dxa" w:w="14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0"/>
                <w:szCs w:val="20"/>
              </w:rPr>
              <w:t xml:space="preserve">1</w:t>
            </w:r>
          </w:p>
        </w:tc>
        <w:tc>
          <w:tcPr>
            <w:tcW w:type="dxa" w:w="295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Operacionalizar el motivo de consulta y establecer la relación terapéutica.</w:t>
            </w:r>
          </w:p>
        </w:tc>
        <w:tc>
          <w:tcPr>
            <w:tcW w:type="dxa" w:w="50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Entrevista clínica y análisis funcional del pánico (antecedentes, respuesta de miedo, consecuentes y conductas de evitación/seguridad).</w:t>
            </w:r>
          </w:p>
        </w:tc>
      </w:tr>
      <w:tr>
        <w:tc>
          <w:tcPr>
            <w:tcW w:type="dxa" w:w="14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0"/>
                <w:szCs w:val="20"/>
              </w:rPr>
              <w:t xml:space="preserve">2</w:t>
            </w:r>
          </w:p>
        </w:tc>
        <w:tc>
          <w:tcPr>
            <w:tcW w:type="dxa" w:w="295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Que el cliente comprenda el modelo del pánico y la lógica del tratamiento.</w:t>
            </w:r>
          </w:p>
        </w:tc>
        <w:tc>
          <w:tcPr>
            <w:tcW w:type="dxa" w:w="50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Psicoeducación sobre la respuesta de ansiedad/miedo, el círculo del pánico y el papel de la evitación en su mantenimiento; introducción a la lógica de la exposición.</w:t>
            </w:r>
          </w:p>
        </w:tc>
      </w:tr>
      <w:tr>
        <w:tc>
          <w:tcPr>
            <w:tcW w:type="dxa" w:w="14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0"/>
                <w:szCs w:val="20"/>
              </w:rPr>
              <w:t xml:space="preserve">3</w:t>
            </w:r>
          </w:p>
        </w:tc>
        <w:tc>
          <w:tcPr>
            <w:tcW w:type="dxa" w:w="295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Construir junto con el cliente una jerarquía de estímulos temidos.</w:t>
            </w:r>
          </w:p>
        </w:tc>
        <w:tc>
          <w:tcPr>
            <w:tcW w:type="dxa" w:w="50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Identificación de sensaciones corporales y situaciones evitadas; jerarquización de estímulos fóbicos (interoceptivos y situacionales) según nivel de malestar.</w:t>
            </w:r>
          </w:p>
        </w:tc>
      </w:tr>
      <w:tr>
        <w:tc>
          <w:tcPr>
            <w:tcW w:type="dxa" w:w="14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0"/>
                <w:szCs w:val="20"/>
              </w:rPr>
              <w:t xml:space="preserve">4 en adelante</w:t>
            </w:r>
          </w:p>
        </w:tc>
        <w:tc>
          <w:tcPr>
            <w:tcW w:type="dxa" w:w="295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Iniciar la exposición a las sensaciones corporales temidas.</w:t>
            </w:r>
          </w:p>
        </w:tc>
        <w:tc>
          <w:tcPr>
            <w:tcW w:type="dxa" w:w="50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Ejercicios de exposición interoceptiva en sesión; registro del nivel de malestar antes/durante/después; entrega de registros de autoexposición para practicar entre sesiones.</w:t>
            </w:r>
          </w:p>
        </w:tc>
      </w:tr>
      <w:tr>
        <w:tc>
          <w:tcPr>
            <w:tcW w:type="dxa" w:w="14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0"/>
                <w:szCs w:val="20"/>
              </w:rPr>
              <w:t xml:space="preserve">Sesiones intermedias</w:t>
            </w:r>
          </w:p>
        </w:tc>
        <w:tc>
          <w:tcPr>
            <w:tcW w:type="dxa" w:w="295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Generalizar la exposición a las situaciones evitadas en la vida cotidiana.</w:t>
            </w:r>
          </w:p>
        </w:tc>
        <w:tc>
          <w:tcPr>
            <w:tcW w:type="dxa" w:w="50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Exposición situacional en vivo, graduada según la jerarquía; revisión de autorregistros; ajuste de la jerarquía según el progreso del cliente.</w:t>
            </w:r>
          </w:p>
        </w:tc>
      </w:tr>
      <w:tr>
        <w:tc>
          <w:tcPr>
            <w:tcW w:type="dxa" w:w="14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0"/>
                <w:szCs w:val="20"/>
              </w:rPr>
              <w:t xml:space="preserve">Últimas sesiones</w:t>
            </w:r>
          </w:p>
        </w:tc>
        <w:tc>
          <w:tcPr>
            <w:tcW w:type="dxa" w:w="295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Consolidar los logros y anticipar posibles recaídas.</w:t>
            </w:r>
          </w:p>
        </w:tc>
        <w:tc>
          <w:tcPr>
            <w:tcW w:type="dxa" w:w="50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Revisión de los avances, identificación de señales de alerta, elaboración de un plan de mantenimiento y prevención de recaídas, cierre del proceso.</w:t>
            </w:r>
          </w:p>
        </w:tc>
      </w:tr>
    </w:tbl>
    <w:p>
      <w:pPr>
        <w:spacing w:after="160" w:line="276"/>
      </w:pPr>
      <w:r>
        <w:rPr>
          <w:rFonts w:ascii="Calibri" w:cs="Calibri" w:eastAsia="Calibri" w:hAnsi="Calibri"/>
          <w:i/>
          <w:iCs/>
          <w:color w:val="3D3B37"/>
          <w:sz w:val="22"/>
          <w:szCs w:val="22"/>
        </w:rPr>
        <w:t xml:space="preserve">Este ejemplo es orientativo: el número de sesiones y el ritmo exacto se ajustan según el avance de cada cliente en particular.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4. Plantilla para elaborar tu propia guía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Usa esta misma estructura para el motivo de consulta que elijas. Completa cada fila antes de comenzar a atender.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950"/>
        <w:gridCol w:w="5000"/>
      </w:tblGrid>
      <w:tr>
        <w:trPr>
          <w:tblHeader/>
        </w:trPr>
        <w:tc>
          <w:tcPr>
            <w:tcW w:type="dxa" w:w="1400"/>
            <w:shd w:fill="00939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Sesión</w:t>
            </w:r>
          </w:p>
        </w:tc>
        <w:tc>
          <w:tcPr>
            <w:tcW w:type="dxa" w:w="2950"/>
            <w:shd w:fill="00939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Objetivo</w:t>
            </w:r>
          </w:p>
        </w:tc>
        <w:tc>
          <w:tcPr>
            <w:tcW w:type="dxa" w:w="5000"/>
            <w:shd w:fill="00939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Temas y estrategias</w:t>
            </w:r>
          </w:p>
        </w:tc>
      </w:tr>
      <w:tr>
        <w:tc>
          <w:tcPr>
            <w:tcW w:type="dxa" w:w="14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  <w:tc>
          <w:tcPr>
            <w:tcW w:type="dxa" w:w="295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  <w:tc>
          <w:tcPr>
            <w:tcW w:type="dxa" w:w="295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  <w:tc>
          <w:tcPr>
            <w:tcW w:type="dxa" w:w="295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  <w:tc>
          <w:tcPr>
            <w:tcW w:type="dxa" w:w="295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  <w:tc>
          <w:tcPr>
            <w:tcW w:type="dxa" w:w="295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5. Checklist antes de dar por terminada tu guía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50"/>
      </w:tblGrid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Elegí un motivo de consulta específico de mi interés.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Identifiqué la intervención con mayor evidencia científica para ese motivo de consulta, dentro de mi enfoque de formación.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Organicé la guía sesión por sesión, con objetivo y estrategias claras en cada una.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Dejé anotados los puntos donde la guía puede ajustarse según el caso particular.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Respaldé cada estrategia con bibliografía o material de mi diplomado.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0"/>
                <w:szCs w:val="20"/>
              </w:rPr>
              <w:t xml:space="preserve">Usé el vocabulario técnico propio de mi modelo (sin mezclar enfoques).</w:t>
            </w:r>
          </w:p>
        </w:tc>
      </w:tr>
    </w:tbl>
    <w:p>
      <w:pPr>
        <w:spacing w:before="320"/>
      </w:pP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3D3B37"/>
          <w:sz w:val="24"/>
          <w:szCs w:val="24"/>
        </w:rPr>
        <w:t xml:space="preserve">Nota final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3D3B37"/>
          <w:sz w:val="22"/>
          <w:szCs w:val="22"/>
        </w:rPr>
        <w:t xml:space="preserve">Recuerda que esta guía es una herramienta de preparación, no un protocolo cerrado: cada cliente real presentará matices que no estarán en tu guión inicial. Su valor está en darte una estructura clara desde la cual empezar a pensar clínicamente.</w:t>
      </w:r>
    </w:p>
    <w:sectPr>
      <w:headerReference w:type="default" r:id="rId7"/>
      <w:footerReference w:type="default" r:id="rId8"/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3D3B37"/>
        <w:sz w:val="16"/>
        <w:szCs w:val="16"/>
      </w:rPr>
      <w:t xml:space="preserve">Página </w:t>
    </w:r>
    <w:r>
      <w:rPr>
        <w:rFonts w:ascii="Calibri" w:cs="Calibri" w:eastAsia="Calibri" w:hAnsi="Calibri"/>
        <w:color w:val="3D3B3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3D3B37"/>
        <w:sz w:val="16"/>
        <w:szCs w:val="16"/>
      </w:rPr>
      <w:t xml:space="preserve"> de </w:t>
    </w:r>
    <w:r>
      <w:rPr>
        <w:rFonts w:ascii="Calibri" w:cs="Calibri" w:eastAsia="Calibri" w:hAnsi="Calibri"/>
        <w:color w:val="3D3B37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939F" w:sz="6" w:space="4"/>
      </w:pBdr>
      <w:jc w:val="right"/>
    </w:pPr>
    <w:r>
      <w:rPr>
        <w:rFonts w:ascii="Calibri" w:cs="Calibri" w:eastAsia="Calibri" w:hAnsi="Calibri"/>
        <w:i/>
        <w:iCs/>
        <w:color w:val="3D3B37"/>
        <w:sz w:val="16"/>
        <w:szCs w:val="16"/>
      </w:rPr>
      <w:t xml:space="preserve">ITECOC · Instituto de Terapias Conductuales y Contextuales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  <w:rPr>
        <w:color w:val="00939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2026-08-04T22:42:38.148Z</dcterms:created>
  <dcterms:modified xsi:type="dcterms:W3CDTF">2026-08-04T22:42:38.166Z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